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287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Style w:val="cat-Dategrp-12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1 ст. 15.33.2 КоАП РФ, в отношении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Кошелева Дмитрия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32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34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33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4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4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right"/>
        <w:rPr>
          <w:sz w:val="22"/>
          <w:szCs w:val="22"/>
        </w:rPr>
      </w:pPr>
    </w:p>
    <w:p>
      <w:pPr>
        <w:spacing w:before="0" w:after="0"/>
        <w:ind w:firstLine="567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УСТАНОВИЛ:</w:t>
      </w:r>
    </w:p>
    <w:p>
      <w:pPr>
        <w:spacing w:before="0" w:after="0"/>
        <w:ind w:firstLine="567"/>
        <w:jc w:val="both"/>
        <w:rPr>
          <w:sz w:val="22"/>
          <w:szCs w:val="22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ст. 15 Федерального закона от </w:t>
      </w:r>
      <w:r>
        <w:rPr>
          <w:rStyle w:val="cat-Dategrp-14rplc-1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237-ФЗ «О внесении изменений в отдельные законодательные акты Российской Федерации» за отчетные периоды, истекшие до </w:t>
      </w:r>
      <w:r>
        <w:rPr>
          <w:rStyle w:val="cat-Dategrp-13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 сведения для индивидуального (персонифицированного) учета представляются страхователями в соответствующие органы Фонда пенсионного и социального страхования Российской Федерации в порядке, действовавшем до дня вступления в силу Федерального закона.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2.2 ст. 11 Федерального Закона от </w:t>
      </w:r>
      <w:r>
        <w:rPr>
          <w:rStyle w:val="cat-Dategrp-15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 «Об индивидуальном (персонифицированном) учете в системе обязательного пенсионного страхования» - страхователь ежемесячно не позднее 15-го числа месяца, следующего за отчетным периодом – месяцем, представляет сведения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вышеуказанной статьей страхователь ежегодно не позднее </w:t>
      </w:r>
      <w:r>
        <w:rPr>
          <w:rStyle w:val="cat-Dategrp-16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следующего за отчетным годом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 налогах и сборах начисляются страховые взносы).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ходе проверки представленных сведений Фонду пенсионного и социального страхования Российской Федерации обнаружены расхождения: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представлены страхователем индивидуальные сведения по форме СЗВ-М за </w:t>
      </w:r>
      <w:r>
        <w:rPr>
          <w:rStyle w:val="cat-Dategrp-17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Форма СЗВ-СТАЖ за данный период отсутствует.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ст. 17 Федерального Закона от </w:t>
      </w:r>
      <w:r>
        <w:rPr>
          <w:rStyle w:val="cat-Dategrp-15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 «Об индивидуальном (персонифицированном) учете в системе обязательного пенсионного страхования» </w:t>
      </w:r>
      <w:r>
        <w:rPr>
          <w:rStyle w:val="cat-Dategrp-18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направлено почтой Уведомление об устранении ошибок и (или) между представленными страхователем сведениями и сведениями, имеющимися у Фонда пенсионного и социального страхования 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Страхователем </w:t>
      </w:r>
      <w:r>
        <w:rPr>
          <w:rStyle w:val="cat-OrganizationNamegrp-34rplc-2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получено </w:t>
      </w:r>
      <w:r>
        <w:rPr>
          <w:rStyle w:val="cat-Dategrp-1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уведомление об устранении расхождений по сверке между СЗВ-М за 2022 и СЗВ-СТАЖ 2022 уточненные сведения должны быть представлены в течении пяти рабочих дней по </w:t>
      </w:r>
      <w:r>
        <w:rPr>
          <w:rStyle w:val="cat-Dategrp-2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 в течение пяти рабочих дней имеющиеся ошибки и несоответствия не устранены.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Правонарушение совершено </w:t>
      </w:r>
      <w:r>
        <w:rPr>
          <w:rStyle w:val="cat-Dategrp-21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Timegrp-35rplc-25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по адресу: ХМАО-Югра, </w:t>
      </w:r>
      <w:r>
        <w:rPr>
          <w:rStyle w:val="cat-Addressgrp-4rplc-2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48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Кошелев Д.Н.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Кошелев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Д.Н.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Кошелева Д.Н.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 № 12</w:t>
      </w:r>
      <w:r>
        <w:rPr>
          <w:rFonts w:ascii="Times New Roman" w:eastAsia="Times New Roman" w:hAnsi="Times New Roman" w:cs="Times New Roman"/>
          <w:sz w:val="27"/>
          <w:szCs w:val="27"/>
        </w:rPr>
        <w:t>413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22rplc-3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список почтовых отправлений; уведомление о составлении протокола об административном правонарушении; копия акта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страхования; расчет финансовой санкции; уведомление об устранении ошибок и (или) несоответствий между представленными страхователями сведениями и сведениями, имеющимися у Социального фонда РФ; сведения о застрахованных лицах; извещения о доставке и протоколы проверки; выписка из ЕГРЮЛ.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7"/>
          <w:szCs w:val="27"/>
        </w:rPr>
        <w:t>Кошелева Д.Н.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Статьей 15 Федерального закона от </w:t>
      </w:r>
      <w:r>
        <w:rPr>
          <w:rStyle w:val="cat-Dategrp-23rplc-3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N 27-ФЗ "Об индивидуальном (персонифицированном) учете в системе обязательного пенсионного страхования" установлена обязанность страхователя в установленный срок представлять органам Пенсионного фонда Российской Федерации сведения о застрахованных лицах, определенные настоящим Федеральным законом.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ст. 17 Федерального Закона от </w:t>
      </w:r>
      <w:r>
        <w:rPr>
          <w:rStyle w:val="cat-Dategrp-15rplc-3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 «Об индивидуальном (персонифицированном) учете в системе обязательного пенсионного страхования» - при обнаружении в представленных страхователем сведениях ошибок и (или) несоответствий между представленными сведениями и сведениями, имеющимися у Пенсионного фонда Российской Федерации,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уведомление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Кошелева Д.Н.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ч. 1 ст.15.33.2 Кодекса РФ об административных правонарушениях – </w:t>
      </w:r>
      <w:r>
        <w:rPr>
          <w:rFonts w:ascii="Roboto" w:eastAsia="Roboto" w:hAnsi="Roboto" w:cs="Roboto"/>
          <w:sz w:val="27"/>
          <w:szCs w:val="27"/>
        </w:rPr>
        <w:t xml:space="preserve">непредставление в установленный </w:t>
      </w:r>
      <w:hyperlink r:id="rId6" w:anchor="/document/10106192/entry/8" w:history="1">
        <w:r>
          <w:rPr>
            <w:rFonts w:ascii="Roboto" w:eastAsia="Roboto" w:hAnsi="Roboto" w:cs="Roboto"/>
            <w:color w:val="0000EE"/>
            <w:sz w:val="27"/>
            <w:szCs w:val="27"/>
            <w:u w:val="single" w:color="0000EE"/>
          </w:rPr>
          <w:t>законодательством</w:t>
        </w:r>
      </w:hyperlink>
      <w:r>
        <w:rPr>
          <w:rFonts w:ascii="Roboto" w:eastAsia="Roboto" w:hAnsi="Roboto" w:cs="Roboto"/>
          <w:sz w:val="27"/>
          <w:szCs w:val="27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/document/12125267/entry/1533202" w:history="1">
        <w:r>
          <w:rPr>
            <w:rFonts w:ascii="Roboto" w:eastAsia="Roboto" w:hAnsi="Roboto" w:cs="Roboto"/>
            <w:color w:val="0000EE"/>
            <w:sz w:val="27"/>
            <w:szCs w:val="27"/>
            <w:u w:val="single" w:color="0000EE"/>
          </w:rPr>
          <w:t>частью 2</w:t>
        </w:r>
      </w:hyperlink>
      <w:r>
        <w:rPr>
          <w:rFonts w:ascii="Roboto" w:eastAsia="Roboto" w:hAnsi="Roboto" w:cs="Roboto"/>
          <w:sz w:val="27"/>
          <w:szCs w:val="27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Кошелева Дмитрия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15.33.2 КоАП РФ и назначить наказание в виде административного штрафа в размере </w:t>
      </w:r>
      <w:r>
        <w:rPr>
          <w:rStyle w:val="cat-Sumgrp-31rplc-3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Банк получателя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РКЦ </w:t>
      </w:r>
      <w:r>
        <w:rPr>
          <w:rStyle w:val="cat-Addressgrp-5rplc-3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5rplc-38"/>
          <w:rFonts w:ascii="Times New Roman" w:eastAsia="Times New Roman" w:hAnsi="Times New Roman" w:cs="Times New Roman"/>
          <w:sz w:val="28"/>
          <w:szCs w:val="28"/>
        </w:rPr>
        <w:t>адрес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перечислять по следующим реквизитам: Банк получателя РКЦ </w:t>
      </w:r>
      <w:r>
        <w:rPr>
          <w:rStyle w:val="cat-Addressgrp-7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Style w:val="cat-Addressgrp-8rplc-4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Ханты-Мансийск, Получатель: УФК по </w:t>
      </w:r>
      <w:r>
        <w:rPr>
          <w:rStyle w:val="cat-Addressgrp-6rplc-4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9rplc-4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(ОСФР по ХМАО-Югре, л/с 04874Ф87010),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счет N 40102810245370000007, ИНН </w:t>
      </w:r>
      <w:r>
        <w:rPr>
          <w:rStyle w:val="cat-PhoneNumbergrp-36rplc-4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КПП </w:t>
      </w:r>
      <w:r>
        <w:rPr>
          <w:rStyle w:val="cat-PhoneNumbergrp-37rplc-4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БИК ТОФК </w:t>
      </w:r>
      <w:r>
        <w:rPr>
          <w:rStyle w:val="cat-PhoneNumbergrp-38rplc-45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ОКТМО </w:t>
      </w:r>
      <w:r>
        <w:rPr>
          <w:rStyle w:val="cat-PhoneNumbergrp-39rplc-46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Addressgrp-0rplc-4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), р/счет - 03100643000000018700, КБК 7971160123006000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УИН 797</w:t>
      </w:r>
      <w:r>
        <w:rPr>
          <w:rFonts w:ascii="Times New Roman" w:eastAsia="Times New Roman" w:hAnsi="Times New Roman" w:cs="Times New Roman"/>
          <w:sz w:val="28"/>
          <w:szCs w:val="28"/>
        </w:rPr>
        <w:t>0270000000004</w:t>
      </w:r>
      <w:r>
        <w:rPr>
          <w:rFonts w:ascii="Times New Roman" w:eastAsia="Times New Roman" w:hAnsi="Times New Roman" w:cs="Times New Roman"/>
          <w:sz w:val="28"/>
          <w:szCs w:val="28"/>
        </w:rPr>
        <w:t>8932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9 по </w:t>
      </w:r>
      <w:r>
        <w:rPr>
          <w:rStyle w:val="cat-Addressgrp-11rplc-4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0rplc-4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Копия верна: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24rplc-52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287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Секретарь судебного заседания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2rplc-1">
    <w:name w:val="cat-Date grp-1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41rplc-6">
    <w:name w:val="cat-ExternalSystemDefined grp-41 rplc-6"/>
    <w:basedOn w:val="DefaultParagraphFont"/>
  </w:style>
  <w:style w:type="character" w:customStyle="1" w:styleId="cat-PassportDatagrp-32rplc-7">
    <w:name w:val="cat-PassportData grp-32 rplc-7"/>
    <w:basedOn w:val="DefaultParagraphFont"/>
  </w:style>
  <w:style w:type="character" w:customStyle="1" w:styleId="cat-UserDefinedgrp-43rplc-8">
    <w:name w:val="cat-UserDefined grp-43 rplc-8"/>
    <w:basedOn w:val="DefaultParagraphFont"/>
  </w:style>
  <w:style w:type="character" w:customStyle="1" w:styleId="cat-OrganizationNamegrp-34rplc-10">
    <w:name w:val="cat-OrganizationName grp-34 rplc-10"/>
    <w:basedOn w:val="DefaultParagraphFont"/>
  </w:style>
  <w:style w:type="character" w:customStyle="1" w:styleId="cat-PassportDatagrp-33rplc-11">
    <w:name w:val="cat-PassportData grp-33 rplc-11"/>
    <w:basedOn w:val="DefaultParagraphFont"/>
  </w:style>
  <w:style w:type="character" w:customStyle="1" w:styleId="cat-ExternalSystemDefinedgrp-40rplc-12">
    <w:name w:val="cat-ExternalSystemDefined grp-40 rplc-12"/>
    <w:basedOn w:val="DefaultParagraphFont"/>
  </w:style>
  <w:style w:type="character" w:customStyle="1" w:styleId="cat-ExternalSystemDefinedgrp-42rplc-13">
    <w:name w:val="cat-ExternalSystemDefined grp-42 rplc-13"/>
    <w:basedOn w:val="DefaultParagraphFont"/>
  </w:style>
  <w:style w:type="character" w:customStyle="1" w:styleId="cat-Dategrp-14rplc-14">
    <w:name w:val="cat-Date grp-14 rplc-14"/>
    <w:basedOn w:val="DefaultParagraphFont"/>
  </w:style>
  <w:style w:type="character" w:customStyle="1" w:styleId="cat-Dategrp-13rplc-15">
    <w:name w:val="cat-Date grp-13 rplc-15"/>
    <w:basedOn w:val="DefaultParagraphFont"/>
  </w:style>
  <w:style w:type="character" w:customStyle="1" w:styleId="cat-Dategrp-15rplc-16">
    <w:name w:val="cat-Date grp-15 rplc-16"/>
    <w:basedOn w:val="DefaultParagraphFont"/>
  </w:style>
  <w:style w:type="character" w:customStyle="1" w:styleId="cat-Dategrp-16rplc-17">
    <w:name w:val="cat-Date grp-16 rplc-17"/>
    <w:basedOn w:val="DefaultParagraphFont"/>
  </w:style>
  <w:style w:type="character" w:customStyle="1" w:styleId="cat-Dategrp-17rplc-18">
    <w:name w:val="cat-Date grp-17 rplc-18"/>
    <w:basedOn w:val="DefaultParagraphFont"/>
  </w:style>
  <w:style w:type="character" w:customStyle="1" w:styleId="cat-Dategrp-15rplc-19">
    <w:name w:val="cat-Date grp-15 rplc-19"/>
    <w:basedOn w:val="DefaultParagraphFont"/>
  </w:style>
  <w:style w:type="character" w:customStyle="1" w:styleId="cat-Dategrp-18rplc-20">
    <w:name w:val="cat-Date grp-18 rplc-20"/>
    <w:basedOn w:val="DefaultParagraphFont"/>
  </w:style>
  <w:style w:type="character" w:customStyle="1" w:styleId="cat-OrganizationNamegrp-34rplc-21">
    <w:name w:val="cat-OrganizationName grp-34 rplc-21"/>
    <w:basedOn w:val="DefaultParagraphFont"/>
  </w:style>
  <w:style w:type="character" w:customStyle="1" w:styleId="cat-Dategrp-19rplc-22">
    <w:name w:val="cat-Date grp-19 rplc-22"/>
    <w:basedOn w:val="DefaultParagraphFont"/>
  </w:style>
  <w:style w:type="character" w:customStyle="1" w:styleId="cat-Dategrp-20rplc-23">
    <w:name w:val="cat-Date grp-20 rplc-23"/>
    <w:basedOn w:val="DefaultParagraphFont"/>
  </w:style>
  <w:style w:type="character" w:customStyle="1" w:styleId="cat-Dategrp-21rplc-24">
    <w:name w:val="cat-Date grp-21 rplc-24"/>
    <w:basedOn w:val="DefaultParagraphFont"/>
  </w:style>
  <w:style w:type="character" w:customStyle="1" w:styleId="cat-Timegrp-35rplc-25">
    <w:name w:val="cat-Time grp-35 rplc-25"/>
    <w:basedOn w:val="DefaultParagraphFont"/>
  </w:style>
  <w:style w:type="character" w:customStyle="1" w:styleId="cat-Addressgrp-4rplc-26">
    <w:name w:val="cat-Address grp-4 rplc-26"/>
    <w:basedOn w:val="DefaultParagraphFont"/>
  </w:style>
  <w:style w:type="character" w:customStyle="1" w:styleId="cat-Dategrp-22rplc-30">
    <w:name w:val="cat-Date grp-22 rplc-30"/>
    <w:basedOn w:val="DefaultParagraphFont"/>
  </w:style>
  <w:style w:type="character" w:customStyle="1" w:styleId="cat-Dategrp-23rplc-32">
    <w:name w:val="cat-Date grp-23 rplc-32"/>
    <w:basedOn w:val="DefaultParagraphFont"/>
  </w:style>
  <w:style w:type="character" w:customStyle="1" w:styleId="cat-Dategrp-15rplc-33">
    <w:name w:val="cat-Date grp-15 rplc-33"/>
    <w:basedOn w:val="DefaultParagraphFont"/>
  </w:style>
  <w:style w:type="character" w:customStyle="1" w:styleId="cat-Sumgrp-31rplc-36">
    <w:name w:val="cat-Sum grp-31 rplc-36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Addressgrp-5rplc-38">
    <w:name w:val="cat-Address grp-5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8rplc-40">
    <w:name w:val="cat-Address grp-8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9rplc-42">
    <w:name w:val="cat-Address grp-9 rplc-42"/>
    <w:basedOn w:val="DefaultParagraphFont"/>
  </w:style>
  <w:style w:type="character" w:customStyle="1" w:styleId="cat-PhoneNumbergrp-36rplc-43">
    <w:name w:val="cat-PhoneNumber grp-36 rplc-43"/>
    <w:basedOn w:val="DefaultParagraphFont"/>
  </w:style>
  <w:style w:type="character" w:customStyle="1" w:styleId="cat-PhoneNumbergrp-37rplc-44">
    <w:name w:val="cat-PhoneNumber grp-37 rplc-44"/>
    <w:basedOn w:val="DefaultParagraphFont"/>
  </w:style>
  <w:style w:type="character" w:customStyle="1" w:styleId="cat-PhoneNumbergrp-38rplc-45">
    <w:name w:val="cat-PhoneNumber grp-38 rplc-45"/>
    <w:basedOn w:val="DefaultParagraphFont"/>
  </w:style>
  <w:style w:type="character" w:customStyle="1" w:styleId="cat-PhoneNumbergrp-39rplc-46">
    <w:name w:val="cat-PhoneNumber grp-39 rplc-46"/>
    <w:basedOn w:val="DefaultParagraphFont"/>
  </w:style>
  <w:style w:type="character" w:customStyle="1" w:styleId="cat-Addressgrp-0rplc-47">
    <w:name w:val="cat-Address grp-0 rplc-47"/>
    <w:basedOn w:val="DefaultParagraphFont"/>
  </w:style>
  <w:style w:type="character" w:customStyle="1" w:styleId="cat-Addressgrp-11rplc-48">
    <w:name w:val="cat-Address grp-11 rplc-48"/>
    <w:basedOn w:val="DefaultParagraphFont"/>
  </w:style>
  <w:style w:type="character" w:customStyle="1" w:styleId="cat-Addressgrp-10rplc-49">
    <w:name w:val="cat-Address grp-10 rplc-49"/>
    <w:basedOn w:val="DefaultParagraphFont"/>
  </w:style>
  <w:style w:type="character" w:customStyle="1" w:styleId="cat-Dategrp-24rplc-52">
    <w:name w:val="cat-Date grp-24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20" TargetMode="External" /><Relationship Id="rId5" Type="http://schemas.openxmlformats.org/officeDocument/2006/relationships/hyperlink" Target="garantf1://71571074.5000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